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FE6" w:rsidRPr="00C62CEF" w:rsidRDefault="00A21445" w:rsidP="00E57EE1">
      <w:pPr>
        <w:spacing w:line="360" w:lineRule="auto"/>
        <w:jc w:val="center"/>
        <w:rPr>
          <w:rFonts w:ascii="Arial" w:hAnsi="Arial" w:cs="Arial"/>
          <w:u w:val="single"/>
        </w:rPr>
      </w:pPr>
      <w:r w:rsidRPr="00C62CEF">
        <w:rPr>
          <w:rFonts w:ascii="Arial" w:hAnsi="Arial" w:cs="Arial"/>
          <w:u w:val="single"/>
        </w:rPr>
        <w:t>Module 5: Food &amp; Drug Law</w:t>
      </w:r>
    </w:p>
    <w:p w:rsidR="00A21445" w:rsidRPr="00C62CEF" w:rsidRDefault="00A21445" w:rsidP="00E57EE1">
      <w:pPr>
        <w:pStyle w:val="ListParagraph"/>
        <w:numPr>
          <w:ilvl w:val="0"/>
          <w:numId w:val="1"/>
        </w:numPr>
        <w:spacing w:line="360" w:lineRule="auto"/>
        <w:rPr>
          <w:rFonts w:ascii="Arial" w:hAnsi="Arial" w:cs="Arial"/>
        </w:rPr>
      </w:pPr>
      <w:r w:rsidRPr="00C62CEF">
        <w:rPr>
          <w:rFonts w:ascii="Arial" w:hAnsi="Arial" w:cs="Arial"/>
          <w:highlight w:val="yellow"/>
        </w:rPr>
        <w:t>Discuss how the requirements specific for veterinary drugs are different than human drugs and why it</w:t>
      </w:r>
      <w:r w:rsidR="00B44DD2" w:rsidRPr="00C62CEF">
        <w:rPr>
          <w:rFonts w:ascii="Arial" w:hAnsi="Arial" w:cs="Arial"/>
          <w:highlight w:val="yellow"/>
        </w:rPr>
        <w:t xml:space="preserve"> is important for public health</w:t>
      </w:r>
    </w:p>
    <w:p w:rsidR="00B44DD2" w:rsidRPr="00C62CEF" w:rsidRDefault="00C62CEF" w:rsidP="00E57EE1">
      <w:pPr>
        <w:spacing w:line="360" w:lineRule="auto"/>
        <w:jc w:val="both"/>
        <w:rPr>
          <w:rFonts w:ascii="Arial" w:hAnsi="Arial" w:cs="Arial"/>
        </w:rPr>
      </w:pPr>
      <w:r w:rsidRPr="00C62CEF">
        <w:rPr>
          <w:rFonts w:ascii="Arial" w:hAnsi="Arial" w:cs="Arial"/>
        </w:rPr>
        <w:t>While the production of animal drugs seems to take a peripheral role, veterinary public health has been identified as another frontier that is integral in the fight against human diseases (Lathers, 2001). The regulatory environment of animal drugs in relation to human drugs appears to be less stringent due to the reasons of rational priorities (Lambert, 2000). In fact, Alder (2005, p. 858) put it that while “</w:t>
      </w:r>
      <w:r w:rsidRPr="00C62CEF">
        <w:rPr>
          <w:rStyle w:val="Emphasis"/>
          <w:rFonts w:ascii="Arial" w:hAnsi="Arial" w:cs="Arial"/>
          <w:color w:val="0E101A"/>
        </w:rPr>
        <w:t>doctors treat people, vets look after animals.”</w:t>
      </w:r>
      <w:r w:rsidRPr="00C62CEF">
        <w:rPr>
          <w:rFonts w:ascii="Arial" w:hAnsi="Arial" w:cs="Arial"/>
        </w:rPr>
        <w:t> In this regard, human drugs have more scrutiny and regulation due to the primacy of human life compared to that of animals. Nevertheless, it is undisputed that diseases of animals have equal potential to cause harm (even turn into pandemics), just like diseases of people. The view that animals are lesser patients (which may be debated as true), affects the safeguards, controls, and contingency plans for veterinary drugs. From critical observations made by Lambert (2000), the Center for Veterinary Medicine needs to improve the requirements for the production of veterinary drugs, including tightening implementations on the production of vet drugs. Today, it is rational to argue that human health concerns largely form the basis for the regulation of veterinary drugs, especially because illnesses from companion animals like cats and dogs can easily trigger adverse human health outcomes. In this view, it is essential to improve the requirements and regulation of animal drug production for the good of animals as well as humans as well</w:t>
      </w:r>
      <w:r w:rsidR="00662A50" w:rsidRPr="00C62CEF">
        <w:rPr>
          <w:rFonts w:ascii="Arial" w:hAnsi="Arial" w:cs="Arial"/>
        </w:rPr>
        <w:t xml:space="preserve">. </w:t>
      </w:r>
    </w:p>
    <w:p w:rsidR="00662A50" w:rsidRPr="00C62CEF" w:rsidRDefault="00662A50" w:rsidP="00E57EE1">
      <w:pPr>
        <w:spacing w:line="360" w:lineRule="auto"/>
        <w:jc w:val="both"/>
        <w:rPr>
          <w:rFonts w:ascii="Arial" w:hAnsi="Arial" w:cs="Arial"/>
        </w:rPr>
      </w:pPr>
    </w:p>
    <w:p w:rsidR="00662A50" w:rsidRPr="00C62CEF" w:rsidRDefault="00662A50" w:rsidP="00B27641">
      <w:pPr>
        <w:spacing w:line="240" w:lineRule="auto"/>
        <w:jc w:val="center"/>
        <w:rPr>
          <w:rFonts w:ascii="Arial" w:hAnsi="Arial" w:cs="Arial"/>
          <w:b/>
        </w:rPr>
      </w:pPr>
      <w:r w:rsidRPr="00C62CEF">
        <w:rPr>
          <w:rFonts w:ascii="Arial" w:hAnsi="Arial" w:cs="Arial"/>
          <w:b/>
        </w:rPr>
        <w:t>References</w:t>
      </w:r>
    </w:p>
    <w:p w:rsidR="00662A50" w:rsidRPr="00C62CEF" w:rsidRDefault="00662A50" w:rsidP="00E57EE1">
      <w:pPr>
        <w:spacing w:after="0" w:line="360" w:lineRule="auto"/>
        <w:ind w:left="1440" w:hanging="1440"/>
        <w:jc w:val="both"/>
        <w:rPr>
          <w:rFonts w:ascii="Arial" w:hAnsi="Arial" w:cs="Arial"/>
        </w:rPr>
      </w:pPr>
      <w:r w:rsidRPr="00C62CEF">
        <w:rPr>
          <w:rFonts w:ascii="Arial" w:hAnsi="Arial" w:cs="Arial"/>
        </w:rPr>
        <w:t xml:space="preserve">Alder, M. (2005). </w:t>
      </w:r>
      <w:r w:rsidRPr="00C62CEF">
        <w:rPr>
          <w:rFonts w:ascii="Arial" w:hAnsi="Arial" w:cs="Arial"/>
        </w:rPr>
        <w:t>Human and veterinary medicine</w:t>
      </w:r>
      <w:r w:rsidRPr="00C62CEF">
        <w:rPr>
          <w:rFonts w:ascii="Arial" w:hAnsi="Arial" w:cs="Arial"/>
        </w:rPr>
        <w:t xml:space="preserve">. </w:t>
      </w:r>
      <w:r w:rsidRPr="00C62CEF">
        <w:rPr>
          <w:rFonts w:ascii="Arial" w:hAnsi="Arial" w:cs="Arial"/>
          <w:i/>
        </w:rPr>
        <w:t xml:space="preserve">BMJ, </w:t>
      </w:r>
      <w:r w:rsidRPr="00C62CEF">
        <w:rPr>
          <w:rFonts w:ascii="Arial" w:hAnsi="Arial" w:cs="Arial"/>
          <w:i/>
        </w:rPr>
        <w:t>330</w:t>
      </w:r>
      <w:r w:rsidRPr="00C62CEF">
        <w:rPr>
          <w:rFonts w:ascii="Arial" w:hAnsi="Arial" w:cs="Arial"/>
        </w:rPr>
        <w:t>(7496): 858–859.</w:t>
      </w:r>
      <w:r w:rsidRPr="00C62CEF">
        <w:rPr>
          <w:rFonts w:ascii="Arial" w:hAnsi="Arial" w:cs="Arial"/>
        </w:rPr>
        <w:t xml:space="preserve"> D</w:t>
      </w:r>
      <w:r w:rsidRPr="00C62CEF">
        <w:rPr>
          <w:rFonts w:ascii="Arial" w:hAnsi="Arial" w:cs="Arial"/>
        </w:rPr>
        <w:t>oi: 10.1136/bmj.330.7496.858</w:t>
      </w:r>
    </w:p>
    <w:p w:rsidR="00184CA3" w:rsidRPr="00C62CEF" w:rsidRDefault="00184CA3" w:rsidP="00E57EE1">
      <w:pPr>
        <w:spacing w:after="0" w:line="360" w:lineRule="auto"/>
        <w:ind w:left="1440" w:hanging="1440"/>
        <w:jc w:val="both"/>
        <w:rPr>
          <w:rFonts w:ascii="Arial" w:hAnsi="Arial" w:cs="Arial"/>
        </w:rPr>
      </w:pPr>
      <w:r w:rsidRPr="00C62CEF">
        <w:rPr>
          <w:rFonts w:ascii="Arial" w:hAnsi="Arial" w:cs="Arial"/>
        </w:rPr>
        <w:t xml:space="preserve">Lathers, C. M. (2001). Role of Veterinary Medicine in Public Health: Antibiotic Use in Food Animals and Humans and the Effect on Evolution of Antibacterial Resistance. </w:t>
      </w:r>
      <w:r w:rsidRPr="00C62CEF">
        <w:rPr>
          <w:rFonts w:ascii="Arial" w:hAnsi="Arial" w:cs="Arial"/>
          <w:i/>
        </w:rPr>
        <w:t>The Journal of Clinical Pharmacology, 41</w:t>
      </w:r>
      <w:r w:rsidRPr="00C62CEF">
        <w:rPr>
          <w:rFonts w:ascii="Arial" w:hAnsi="Arial" w:cs="Arial"/>
        </w:rPr>
        <w:t xml:space="preserve">(6), 595–599. </w:t>
      </w:r>
      <w:r w:rsidR="00F53482" w:rsidRPr="00C62CEF">
        <w:rPr>
          <w:rFonts w:ascii="Arial" w:hAnsi="Arial" w:cs="Arial"/>
        </w:rPr>
        <w:t>D</w:t>
      </w:r>
      <w:r w:rsidRPr="00C62CEF">
        <w:rPr>
          <w:rFonts w:ascii="Arial" w:hAnsi="Arial" w:cs="Arial"/>
        </w:rPr>
        <w:t>oi</w:t>
      </w:r>
      <w:r w:rsidR="00F53482" w:rsidRPr="00C62CEF">
        <w:rPr>
          <w:rFonts w:ascii="Arial" w:hAnsi="Arial" w:cs="Arial"/>
        </w:rPr>
        <w:t>: 10.1177</w:t>
      </w:r>
      <w:r w:rsidRPr="00C62CEF">
        <w:rPr>
          <w:rFonts w:ascii="Arial" w:hAnsi="Arial" w:cs="Arial"/>
        </w:rPr>
        <w:t xml:space="preserve">/00912700122010474 </w:t>
      </w:r>
    </w:p>
    <w:p w:rsidR="008E7C64" w:rsidRPr="00C62CEF" w:rsidRDefault="008E7C64" w:rsidP="00E57EE1">
      <w:pPr>
        <w:spacing w:after="0" w:line="360" w:lineRule="auto"/>
        <w:ind w:left="1440" w:hanging="1440"/>
        <w:jc w:val="both"/>
        <w:rPr>
          <w:rFonts w:ascii="Arial" w:hAnsi="Arial" w:cs="Arial"/>
          <w:color w:val="000000"/>
        </w:rPr>
      </w:pPr>
      <w:r w:rsidRPr="00C62CEF">
        <w:rPr>
          <w:rFonts w:ascii="Arial" w:hAnsi="Arial" w:cs="Arial"/>
          <w:color w:val="000000"/>
        </w:rPr>
        <w:t>Lambert</w:t>
      </w:r>
      <w:r w:rsidRPr="00C62CEF">
        <w:rPr>
          <w:rFonts w:ascii="Arial" w:hAnsi="Arial" w:cs="Arial"/>
          <w:color w:val="000000"/>
        </w:rPr>
        <w:t xml:space="preserve">, E. (2000). </w:t>
      </w:r>
      <w:r w:rsidR="00F53482" w:rsidRPr="00C62CEF">
        <w:rPr>
          <w:rFonts w:ascii="Arial" w:hAnsi="Arial" w:cs="Arial"/>
          <w:color w:val="000000"/>
        </w:rPr>
        <w:t>Animal drugs: Future step</w:t>
      </w:r>
      <w:bookmarkStart w:id="0" w:name="_GoBack"/>
      <w:bookmarkEnd w:id="0"/>
      <w:r w:rsidR="00F53482" w:rsidRPr="00C62CEF">
        <w:rPr>
          <w:rFonts w:ascii="Arial" w:hAnsi="Arial" w:cs="Arial"/>
          <w:color w:val="000000"/>
        </w:rPr>
        <w:t>child or pioneer</w:t>
      </w:r>
      <w:r w:rsidRPr="00C62CEF">
        <w:rPr>
          <w:rFonts w:ascii="Arial" w:hAnsi="Arial" w:cs="Arial"/>
          <w:color w:val="000000"/>
        </w:rPr>
        <w:t>?</w:t>
      </w:r>
      <w:r w:rsidRPr="00C62CEF">
        <w:rPr>
          <w:rFonts w:ascii="Arial" w:hAnsi="Arial" w:cs="Arial"/>
          <w:color w:val="000000"/>
        </w:rPr>
        <w:t xml:space="preserve"> </w:t>
      </w:r>
      <w:r w:rsidRPr="00C62CEF">
        <w:rPr>
          <w:rFonts w:ascii="Arial" w:hAnsi="Arial" w:cs="Arial"/>
          <w:i/>
          <w:color w:val="000000"/>
        </w:rPr>
        <w:t>55 Food &amp; Drug L</w:t>
      </w:r>
      <w:r w:rsidRPr="00C62CEF">
        <w:rPr>
          <w:rFonts w:ascii="Arial" w:hAnsi="Arial" w:cs="Arial"/>
          <w:i/>
          <w:color w:val="000000"/>
        </w:rPr>
        <w:t xml:space="preserve">aw </w:t>
      </w:r>
      <w:r w:rsidRPr="00C62CEF">
        <w:rPr>
          <w:rFonts w:ascii="Arial" w:hAnsi="Arial" w:cs="Arial"/>
          <w:i/>
          <w:color w:val="000000"/>
        </w:rPr>
        <w:t>J</w:t>
      </w:r>
      <w:r w:rsidRPr="00C62CEF">
        <w:rPr>
          <w:rFonts w:ascii="Arial" w:hAnsi="Arial" w:cs="Arial"/>
          <w:i/>
          <w:color w:val="000000"/>
        </w:rPr>
        <w:t>ournal</w:t>
      </w:r>
      <w:r w:rsidRPr="00C62CEF">
        <w:rPr>
          <w:rFonts w:ascii="Arial" w:hAnsi="Arial" w:cs="Arial"/>
          <w:i/>
          <w:color w:val="000000"/>
        </w:rPr>
        <w:t>.</w:t>
      </w:r>
      <w:r w:rsidRPr="00C62CEF">
        <w:rPr>
          <w:rFonts w:ascii="Arial" w:hAnsi="Arial" w:cs="Arial"/>
          <w:color w:val="000000"/>
        </w:rPr>
        <w:t xml:space="preserve"> 33</w:t>
      </w:r>
    </w:p>
    <w:sectPr w:rsidR="008E7C64" w:rsidRPr="00C62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EE4E25"/>
    <w:multiLevelType w:val="hybridMultilevel"/>
    <w:tmpl w:val="4178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45"/>
    <w:rsid w:val="00184CA3"/>
    <w:rsid w:val="00662A50"/>
    <w:rsid w:val="007E3465"/>
    <w:rsid w:val="008009E2"/>
    <w:rsid w:val="008E7C64"/>
    <w:rsid w:val="00A13FE6"/>
    <w:rsid w:val="00A21445"/>
    <w:rsid w:val="00AB66A6"/>
    <w:rsid w:val="00AC49C3"/>
    <w:rsid w:val="00B27641"/>
    <w:rsid w:val="00B44DD2"/>
    <w:rsid w:val="00C62CEF"/>
    <w:rsid w:val="00E57EE1"/>
    <w:rsid w:val="00F53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230F6F-28ED-474D-B778-F7F4D8018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DD2"/>
    <w:pPr>
      <w:ind w:left="720"/>
      <w:contextualSpacing/>
    </w:pPr>
  </w:style>
  <w:style w:type="character" w:styleId="Emphasis">
    <w:name w:val="Emphasis"/>
    <w:basedOn w:val="DefaultParagraphFont"/>
    <w:uiPriority w:val="20"/>
    <w:qFormat/>
    <w:rsid w:val="00C62C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238394">
      <w:bodyDiv w:val="1"/>
      <w:marLeft w:val="0"/>
      <w:marRight w:val="0"/>
      <w:marTop w:val="0"/>
      <w:marBottom w:val="0"/>
      <w:divBdr>
        <w:top w:val="none" w:sz="0" w:space="0" w:color="auto"/>
        <w:left w:val="none" w:sz="0" w:space="0" w:color="auto"/>
        <w:bottom w:val="none" w:sz="0" w:space="0" w:color="auto"/>
        <w:right w:val="none" w:sz="0" w:space="0" w:color="auto"/>
      </w:divBdr>
      <w:divsChild>
        <w:div w:id="2090685801">
          <w:marLeft w:val="0"/>
          <w:marRight w:val="0"/>
          <w:marTop w:val="0"/>
          <w:marBottom w:val="0"/>
          <w:divBdr>
            <w:top w:val="none" w:sz="0" w:space="0" w:color="auto"/>
            <w:left w:val="none" w:sz="0" w:space="0" w:color="auto"/>
            <w:bottom w:val="none" w:sz="0" w:space="0" w:color="auto"/>
            <w:right w:val="none" w:sz="0" w:space="0" w:color="auto"/>
          </w:divBdr>
        </w:div>
        <w:div w:id="1348679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2021-09-30T15:39:00Z</dcterms:created>
  <dcterms:modified xsi:type="dcterms:W3CDTF">2021-09-30T16:09:00Z</dcterms:modified>
</cp:coreProperties>
</file>